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0052/2019 vom 23. Mai 2019</w:t>
      </w:r>
    </w:p>
    <w:p>
      <w:r>
        <w:t>ZH Baurekursgericht, 2019-05-23, DE</w:t>
      </w:r>
    </w:p>
    <w:p>
      <w:r>
        <w:rPr>
          <w:b/>
        </w:rPr>
        <w:t xml:space="preserve">Quelle: </w:t>
      </w:r>
      <w:r>
        <w:t>https://mcp.opencaselaw.ch/entscheid/zh_baurekursgericht_BRGE IV Nr. 0052_2019</w:t>
      </w:r>
    </w:p>
    <w:p>
      <w:r>
        <w:t>FR: ZH_BAUREKURSGERICHT BRGE IV Nr. 0052/2019 du 23 mai 2019</w:t>
      </w:r>
    </w:p>
    <w:p>
      <w:r>
        <w:t>IT: ZH_BAUREKURSGERICHT BRGE IV Nr. 0052/2019 del 23 maggio 2019</w:t>
      </w:r>
    </w:p>
    <w:p>
      <w:pPr>
        <w:pStyle w:val="Heading2"/>
      </w:pPr>
      <w:r>
        <w:t>Regeste</w:t>
      </w:r>
    </w:p>
    <w:p>
      <w:r>
        <w:t>Die kommunale Baubehörde verweigerte der Salt Mobile SA die Bewilligung für die Erstellung einer Basisstation auf einem Mehrfamilienhaus wegen mangelnder Einordnung in die bauliche Umgebung. Die Baubehörde hielt überdies fest, die Basisstation sei aufgrund ihrer Dimensionen keine baurechtlich privilegierte kleinere technisch bedingte Aufbaute mehr; im Übrigen wäre die Anlage jedoch zonenkonform und würde auch die gesetzlichen Strahlengrenzwerte einhalten. Den gegen diese Bewilligungsverweigerung von der Bauherrschaft erhobenen Rekurs hiess das Baurekursgericht gut. U.a. erwog das Gericht, die Basisstation ordne sich rechtsgenügend in die ortsbauliche Umgebung ein und wies die kommunale Baubehörde nach Prüfung der übrigen massgebenden bau- und umweltschutzrechtlichen Bestimmungen an, die nachgesuchte Baubewilligung unter den erforderlichen Nebenbestimmungen zu erteilen.</w:t>
      </w:r>
    </w:p>
    <w:p>
      <w:pPr>
        <w:pStyle w:val="Heading2"/>
      </w:pPr>
      <w:r>
        <w:t>Erwägungen</w:t>
      </w:r>
    </w:p>
    <w:p>
      <w:r>
        <w:rPr>
          <w:b/>
        </w:rPr>
        <w:t>E. 4</w:t>
      </w:r>
    </w:p>
    <w:p>
      <w:r>
        <w:t>Der beigeladene N. L. beanstandet die Art und Weise der Aussteckung. Die dünne Stange vermittle keinen objektiven Eindruck der vorgesehenen An- tennenanlage. Zur Funktion der Aussteckung im Sinne von § 311 PBG ist Folgendes fest- zuhalten: Sie soll vor allem Nachbarn auf ein geplantes Bauvorhaben und dessen mögliche Auswirkungen auf deren Grundstücke aufmerksam ma- chen und so auf die öffentliche Bekanntmachung des Vorhabens (§ 314 Abs. 1 PBG) sowie die öffentliche Auflage der Baugesuchsunterlagen (§ 314 Abs. 4 PBG) hinweisen. Dieser Zweck wurde hier ohne weiteres er- füllt. Die Aussteckung kann sich nämlich auf die wesentlichen Gebäude- und Anlageteile beschränken. Bezüglich der genauen Dimensionierung und Detailgestaltung sind die von der Bauherrschaft einzureichenden Gesuchs- unterlagen (§ 310 Abs. 1 PBG und §§ 3 ff. der Bauverfahrensordnung [BVV]) alleine massgebend. Bei Mobilfunkantennen genügt es gemäss Rechtsprechung deshalb, wenn – wie im vorliegenden Fall – mit der Aus- steckung lediglich die vorgesehene Masthöhe und nicht auch noch der Durchmesser des Mastes sowie die horizontale Ausdehnung der Anten- nenelemente visualisiert wird (BRGE II Nr. 0186/2015 vom 1. Dezember 2015, E. 5). 5.1. Gemäss § 238 Abs. 1 PBG sind Bauten, Anlagen und Umschwung für sich und in ihrem Zusammenhang mit der baulichen und landschaftlichen Um- gebung im Ganzen und in ihren einzelnen Teilen so zu gestalten, dass eine befriedigende Gesamtwirkung erreicht wird, welche Anforderung auch für Materialien und Farben gilt. Die genannte Bestimmung enthält eine Grund- anforderung an Bauten, Anlagen und Umschwung. Verlangt wird sowohl eine gewisse Qualität der Gestaltung in sich als auch der Einordnung in die bauliche und landschaftliche Umgebung. R4.2018.00066 Seite 7</w:t>
      </w:r>
    </w:p>
    <w:p>
      <w:r>
        <w:t>Die Frage, ob eine befriedigende Gesamtwirkung erreicht wird, ist gestützt auf objektive, nachvollziehbare Kriterien zu beantworten. Subjektives Emp- finden rechtfertigt keinen Eingriff in das Eigentum. Im Kontext mit Anten- nen, die als standardisierte technische Anlagen im konkreten Einzelfall (mit Ausnahme der Farbgebung oder allenfalls möglicher Kaschierung) kaum individuell gestaltet werden können, stellt sich vor allem die Frage, ob eine genügende Einordnung in die bauliche und landschaftliche Umgebung be- jaht werden kann. 5.2. Gestützt auf § 238 Abs. 2 PBG ist auf Objekte des Natur- und Heimat- schutzes besondere Rücksicht zu nehmen. In rechtsrelevanter Nähe des Baugrundstücks befinden sich unbestrittenermassen keine Schutzobjekte, weshalb hier ausschliesslich § 238 Abs. 1 PBG massgebend ist. 5.3. Soweit den Gemeinden bei der Anwendung von Bestimmungen des kanto- nalen Rechts als Ausfluss der Gemeindeautonomie eine besondere Ent- scheidungs- und Ermessensfreiheit zukommt, überprüft das Baurekursge- richt entsprechende Entscheide mit Zurückhaltung. Beruht der kommunale Entscheid auf einer vertretbaren Würdigung der massgebenden Umstände, so hat ihn die Rekursinstanz zu respektieren. Die Rekursinstanz darf nur dann einschreiten, wenn die Baubehörde ihren Ermessensspielraum über- schreitet, indem sie sich von unsachlichen, dem Zweck der in Frage ste- henden Regelung fremden Erwägungen leiten lässt oder allgemeine Rechtsprinzipien, wie das Verbot von Willkür oder den Grundsatz der Ver- hältnismässigkeit, verletzt. Dabei darf sich die Rekursinstanz jedoch nicht auf eine blosse Willkürprüfung beschränken, vielmehr muss die Eingriffs- schwelle tiefer gesetzt werden (vgl. BGr 1C_358/2017 vom 5. September 2018, E. 3.6., mit Hinweisen). Ob eine Bestimmung des kantonalen Rechts den Gemeinden einen auto- nomen Entscheidungsspielraum einräumt, ist durch Auslegung zu ermitteln (Marco Donatsch, in: Kommentar VRG, 3. Aufl., Zürich/Basel/Genf 2014, § 20 Rz. 62). Nach ständiger Praxis der kantonalen Instanzen gilt solches u.a. für die Einordnungsbestimmung von § 238 PBG. R4.2018.00066 Seite 8</w:t>
      </w:r>
    </w:p>
    <w:p>
      <w:r>
        <w:t>5.4. Das Baugrundstück mit dem Standortgebäude Y-Weg 7 liegt, wie auch der Augenschein vom 10. September 2018 gezeigt hat, wohl in einem ortbau- lich relativ kompakten Mehrfamilienhausquartier an mittlerer Hanglage im Geviert Y-Weg – A-Weg – B-Weg – C-Strasse (vgl. Kartenausschnitt Google Maps; besucht am 26. April 2019; Prot. S. 19). Die zumeist dreige- schossigen Gebäude mit mittelgrossen Kubaturen und schlichter architek- tonischer Gestaltung aus den fünfziger und sechziger Jahren des vorigen Jahrhunderts weisen in der Mehrheit Sattel- oder flache Walmdächer auf (vgl. Prot. S. 10, 13, 17 und 18). Aufgrund ihrer Flachdächer und ihrer ver- gleichsweise sehr modernen Architektursprache fallen jedoch die nördlich ans Baugrundstück angrenzenden markanten Mehrfamilienhäuser C- Strasse 9 und B-Weg 4, welche in den letzten Jahren abgebrochene ältere Gebäude ersetzt haben, ziemlich aus dem ortbaulichen und quartierübli- chen Rahmen (vgl. Prot. S. 9, 11, 12, 15 und 16). Sie prägen das Quartier durchaus prominent mit. Dadurch liegt in der einordnungsmässig relevan- ten näheren baulichen Umgebung entgegen der Auffassung der Rekurs- gegnerschaft keine ortbaulich homogene bzw. einheitliche und gleichförmi- ge Überbauungsstruktur vor. Das Standortgebäude selbst ist ein unprätentiöses Mehrfamilienhaus mit drei Vollgeschossen und einem, wie der Fassadenplan 1:100 unter Ziffer 2 der Erwägungen zeigt, talseitig teilweise freigelegten Kellergeschoss bei der Westfassade. Das eine Firsthöhe von 12,76 m aufweisende Gebäude hat ein relativ flaches Walmdach. Der vorgesehene Antennenmast misst</w:t>
      </w:r>
    </w:p>
    <w:p>
      <w:r>
        <w:rPr>
          <w:b/>
        </w:rPr>
        <w:t>E. 7</w:t>
      </w:r>
    </w:p>
    <w:p>
      <w:r>
        <w:t>Erweist sich die strittige Anlage als einordnungsmässig sowie im Lichte von § 292 PBG rechtskonform, ist im Folgenden ihre weitere Bewilligungsfähig- keit zu prüfen. Die Vorinstanz hat nämlich trotz der Bauverweigerung be- reits eine vollumfängliche bau- und umweltschutzrechtliche Prüfung der strittigen Basisstation im angefochtenen Beschluss vorgenommen. Insbe- sondere ist sie auf die rechtlich relevanten Aspekte des Strahlenschutzes eingegangen und hat diesbezüglich auf den zustimmenden Fachbericht des AWEL und die dort erwähnten notwendigen Abnahmemessungen verwie- sen. Die Vorinstanz hat überdies festgehalten, dass die Anlage zonenkon- form sei. 8.1. Der Schutz der Umwelt vor nichtionisierender elektromagnetischer Strah- lung wird im Bundesgesetz über den Umweltschutz (USG) sowie in der NISV geregelt. Das Bundesamt für Umwelt (BAFU; früher BUWAL) konkre- tisierte die NISV mit Vollzugsempfehlungen (Mobilfunk- und WLL-Basis- R4.2018.00066 Seite 13</w:t>
      </w:r>
    </w:p>
    <w:p>
      <w:r>
        <w:t>stationen, Vollzugsempfehlung zur NISV, BUWAL/BAFU, Bern 2003 [Voll- zugsempfehlung NISV]). Nichtionisierende Strahlung ist im Gegensatz zur ionisierenden Strahlung (etwa Röntgenstrahlen, Radioaktivität) nicht in der Lage, Elektronen aus Atomen oder Molekülen freizusetzen. Die Wirkungs- weise dieser beiden Strahlenarten lässt sich folglich nicht vergleichen. Die NISV regelt die Begrenzung von nieder- und hochfrequenten Strah- lenemissionen, welche durch den Betrieb ortsfester Anlagen wie z.B. Mobil- funk-Basisstationen erzeugt werden (Art. 2 Abs. 1 lit. a NISV). Es wurden, wie im genannten Bundesgesetz vorgeschrieben, Immissionsgrenzwerte und in Umsetzung des gesetzlichen Vorsorgeprinzips zudem Anlagegrenz- werte festgelegt. Die entsprechenden Grenzwerte sind von allen Mobilfunk- anlagen mit einer Gesamtstrahlungsleistung von über 6 W zwingend ein- ERP zuhalten (Ziffer 61 Anhang 1 NISV). 8.2. Die Immissionsgrenzwerte (IGW) gelten an allen Orten, wo sich Menschen normalerweise aufhalten können. Dies jedoch nicht permanent, sondern jeweils nur für kürzere Dauer (OKA; Art. 13 Abs. 1 NISV). Das gilt bei- spielsweise für Passanten auf Strassen oder bei einem Aufenthalt in Lager- räumen. Die Immissionsgrenzwerte basieren auf den Empfehlungen bzw. Richtlinien der Weltgesundheitsorganisation WHO sowie weiterer Fach- gremien (www.who.int/peh-emf/standards/en). Die vorliegende Basisstati- on, welche auf unterschiedlichen Frequenzen betrieben werden soll, hat aufgrund der entsprechenden Summierungsvorschriften gemäss Anhang 2 der NISV (vgl. auch Vollzugsempfehlung NISV, S. 22 f.) über alle Frequen- zen gerechnet einen Immissionsgrenzwert von 44,2 V/m (Volt pro m) ein- zuhalten. 8.3. Die Anlagegrenzwerte (AGW) gehen erheblich über den Schutzumfang der Immissionsgrenzwerte hinaus. Sie verlangen in Konkretisierung der Be- stimmung von Art. 4 Abs. 1 NISV über die vorsorgliche Emissionsbegren- zung an Orten mit empfindlicher Nutzung (OMEN), welche in Art. 3 Abs. 3 NISV definiert werden, durchschnittlich um den Faktor 10 tiefere elektrische Feldstärken. Als OMEN gelten nach dieser Bestimmung insbesondere Räume in Gebäuden, in denen sich Menschen regelmässig während länge- rer Zeit aufhalten (Wohn- und Schlafräume, permanente Arbeitsplätze etc.) R4.2018.00066 Seite 14</w:t>
      </w:r>
    </w:p>
    <w:p>
      <w:r>
        <w:t>oder raumplanungsrechtlich festgesetzte Kinderspielplätze. Die Anlage- grenzwerte bewegen sich frequenzabhängig im Bereich zwischen 4‒6 V/m. Für die hier in Frage stehende Basisstation, die in Frequenzbereichen zwi- schen 800 MHz-2100 MHz betrieben werden soll, gilt gemäss Ziffer 64 lit. c Anhang 1 NISV ein maximal zulässiger Anlagegrenzwert von 5 V/m. 8.4. Der Bundesrat hat als im Sinne von Art. 13 Abs. 1 USG zuständiger Ge- setzgeber aufgrund neuer allgemeingültiger wissenschaftlicher Erkenntnis- se allenfalls notwendige Grenzwertanpassungen vorzunehmen. Im Rah- men der am 1. September 2009 in Kraft getretenen Teilrevision der NISV hat der Bundesrat jedoch gestützt auf die damalige wissenschaftliche Aus- gangslage auf eine Grenzwertverschärfung verzichtet. Seither bestand für den Gesetzgeber aufgrund des objektiven aktuellen Wissensstands keine Veranlassung, die Grenzwerte zu lockern oder zu verschärfen (BRGE III Nr. 0027/2018 vom 21. Februar 2018, E. 8.4.1; www.baurekursgericht- zh.ch). Der Bund beobachtet jedoch die wissenschaftliche Entwicklung in diesem Bereich zusammen mit einer beratenden Expertengruppe, um al- lenfalls grenzwertmässig reagieren zu können (BGr 1C_340/2013 vom 4. April 2014, E. 3.41 und 3.4.2). An dieser Stelle muss festgehalten werden, dass bei weitem nicht jede im Internet auffindbare Publikation oder jeder Zeitungsartikel zum Thema Mo- bilfunk, Elektrosmog etc. wissenschaftlich fundiert ist, zumal diese unkon- trolliert von jedermann ins Netz gestellt oder in den Printmedien veröffent- licht werden können. Bei der Überprüfung der Verfassungs- und Gesetzmässigkeit der Grenz- wertregelung der NISV hat das Bundesgericht wiederholt und explizit fest- gehalten, die Verordnung halte sich an den vom USG vorgezeichneten Rahmen des Immissionsschutzes, sei auch im Übrigen gesetzeskonform und widerspreche weder der Bundesverfassung (BV) noch der Europäi- schen Menschenrechtskonvention (EMRK). Folglich ist die vorsorgliche Emissionsbegrenzung mit der Festlegung der Anlagegrenzwerte in der NISV abschliessend geregelt, womit im Einzelfall, gestützt auf das Vorsor- geprinzip des USG oder aus anderen Gründen, keine weitergehende Be- grenzung der elektromagnetischen Mobilfunkstrahlung verlangt werden kann (u.a. BGr 1C_642/2013 vom 7. April 2014, E. 3.1). Eine spezielle Elektrosensibilität bzw. Hypersensibilität auf elektromagnetische Strahlung, R4.2018.00066 Seite 15</w:t>
      </w:r>
    </w:p>
    <w:p>
      <w:r>
        <w:t>welche im Übrigen von der WHO nicht als Krankheit eingestuft wird, oder ein erhöhter Schutz von Kindern und älteren Menschen kann deshalb bei der Beurteilung eines Baugesuchs im Einzelfall keine Grenzwertverschär- fung bewirken. 8.5. Diese gesetzliche Ausgangslage sowie die dazu entwickelte Rechtspre- chung haben ausserdem zur Folge, dass  gestützt auf die umweltschutzrechtlichen Vorschriften von den Betrei- bergesellschaften kein Unbedenklichkeitsnachweis ihrer Mobilfunkan- lagen verlangt werden kann (u.a. BRGE I Nr. 0052/2012 vom 23. März 2012, E. 4.3);  die Mobilfunkgesellschaften innerhalb der Bauzonen grundsätzlich kei- nen betrieblichen oder sendetechnischen Nachweis für eine neue Ba- sisstation beibringen müssen (BGr 1C_329/2013 vom 23. Oktober 2013, E. 3.1, und BGr 1C_642/2013 vom 7. April 2014, E. 4.1). Ist eine Basisstation wie im vorliegenden Fall zonenkonform, bedarf es also keines Bedürfnisnachweises, etwa wegen fehlender Abdeckung oder mangelhafter Kapazität. Somit ist es unmassgeblich, ob der von den Mobilfunkkonzessionen geforderte Abdeckungsgrad jeweils bereits er- reicht ist oder mit der neuen Funkzelle mobile Kommunikationsarten wie etwa SMS, MMS, Internet, E-Mail, TV-Empfang, Streaming-Dienste oder andere internetbasierte Applikationen optimiert werden können oder zusätzlich möglich sind (BRGE III Nr. 0027/2018 vom 21. Februar 2018, E. 12.2; www.baurekursgericht-zh.ch). Damit ist der Einwand der Rekursgegnerschaft, der Handyempfang sei quartierbezogen bereits jetzt gut und es werde von der Bauherrschaft keine eigentliche Versor- gungslücke geltend gemacht, kein Kriterium bei der Prüfung der Bewil- ligungsfähigkeit der streitbetroffenen Antennenanlage. 8.6.1. Die Ermittlung der Immissions- und Anlagegrenzwerte erfolgt mit Hilfe des vom BAFU entwickelten Berechnungsmodells für hochfrequente nichtioni- sierende Strahlen, den sogenannten Standortdatenblättern (Art. 11 Abs. 1 NISV). Damit lassen sich die künftigen elektromagnetischen Auswirkungen von Mobilfunk-Basisstationen ausreichend genau berechnen, so dass im Normalfall keine weiteren immissionsmässigen Abklärungen notwendig sind (BRGE IV Nr. 0118/2014 vom 16. Oktober 2014, E. 6.1; www.baure- kursgericht-zh.ch). R4.2018.00066 Seite 16</w:t>
      </w:r>
    </w:p>
    <w:p>
      <w:r>
        <w:t>Art. 11 Abs. 2 lit. c Ziff. 1 und 2 NISV verlangt Berechnungen einerseits beim strahlenmässig exponiertesten OKA und andererseits für jene drei OMEN, an denen die elektromagnetische Strahlung am grössten sein wird. Darüber hinaus sind die Mobilfunkgesellschaften in der Regel zu keinen weiteren Grenzwertberechnungen verpflichtet (BRGE II Nr. 0146/2011 vom 21. Juni 2011, E. 6.5). Die Salt Mobile SA hat beim OKA 1a (Dachausstieg für den Mastzugang) sowie für insgesamt 13 strahlenmässig exponierte Orte mit empfindlicher Nutzung (OMEN 1b–12), nach den gesetzlichen Vorgaben und ihrer Aus- führungsbestimmungen Grenzwertberechnungen erstellt. Darunter sind auch die drei strahlenmässig exponiertesten Orte (OMEN 11a, 11b und 12). Gemäss diesen korrekt vorgenommenen rechnerischen Feldstärkenprog- nosen (nach dem Gesagten an weit mehr Orten als gesetzlich vorgeschrie- ben), werden die massgebenden Immissions- und Anlagegrenzwerte ein- gehalten, wovon sich die erwähnte kantonale Fachstelle, die Vorinstanz sowie das Baurekursgericht bei der Kontrolle dieser Berechnungen über- zeugen konnte. 8.6.2. Beim OMEN 1b im Standortgebäude Y-Weg 7 ist zur Einhaltung des Anla- gegrenzwerts die Applizierung einer Abschirmfolie zwischen der dortigen Wohnung und der Antennenanlage notwendig. Dieses Vorgehen ist korrekt. In Ergänzung zur vorhandenen baulichen Dämpfung können zur Reduktion der elektromagnetischen Strahlung strahlendämmende Materialien (oftmals transparente metallische Gewebe oder Folien) eingebaut werden, um den Anlagegrenzwert einhalten zu können. Solche Abschirmungen bewirken in der Regel eine Dämpfung von 15 dB mit einem Korrekturfaktor von 31,62 (BRGE III Nr. 0027/2013 vom 27. März 2013, E. 6.3.1; www.baurekurs- gericht-zh.ch). Praxisgemäss sind an solchen Orten nach der Inbetriebnah- me der Anlage Abnahmemessungen vorzunehmen. Damit kann geprüft werden, ob die Abschirmfolie fachgerecht eingebaut wurde. 9.1. Ergeben die Standortdatenblattberechnungen eine deutliche Einhaltung der Immissions- und Anlagegrenzwerte, ist eine Messung der elektromagneti- schen Strahlung nach Inbetriebnahme einer Mobilfunk-Basisstation im Re- gelfall nicht notwendig. R4.2018.00066 Seite 17</w:t>
      </w:r>
    </w:p>
    <w:p>
      <w:r>
        <w:t>Abnahmemessungen im Sinne einer Kontrollmassnahme rechtfertigen sich nur dann, wenn die berechneten elektrischen Feldstärken relativ nahe beim Grenzwert liegen. Dies hat seine Ursache darin, dass die rechnerische Prognose zwar auf einem Modell basiert, welches der Realität sehr nahe- kommt, jedoch aus physikalischen Gründen nicht allen Feinheiten der Aus- breitung der elektromagnetischen Strahlung Rechnung tragen kann (Voll- zugsempfehlung NISV, S. 20, Ziffer 2.1.8; vgl. auch Leitfaden Mobilfunk für Gemeinde und Städte, Bern 2010, S. 16, Ziffer 2.4.2). Gestützt auf diese Empfehlung des Bundes sind gemäss langjähriger ge- samtschweizerischer Rechtspraxis Abnahmemessungen durchzuführen, wenn die rechnerische Prognose eine Ausschöpfung des Grenzwerts von 80 % oder mehr ergibt (BGr 1C_244/2007 vom 10. April 2008, E. 4.6; BRGE IV Nr. 0118/2014 vom 16. Oktober 2014, E. 9.1; Christoph Fritzsche/ Peter Bösch/Thomas Wipf, Zürcher Planungs- und Baurecht, 5. Auflage, Zürich 2011, Bd. 2, S. 1118). Zu weiteren Abnahme- oder gar periodischen Kontrollmessungen können die Mobilfunkgesellschaften in der Regel nicht verpflichtet werden (BRKE III Nr. 0083/2016 vom 6. Juli 2016, E. 4.1.2; www.baurekursgericht-zh.ch). In begründeten Einzelfällen kann sich aufgrund der konkreten Sachum- stände ausnahmsweise eine tiefere Kontrollschwelle als 80 % rechtfertigen. Für dieses Abweichen müssen unter den Gesichtspunkten der Gleichbe- handlung und der Verhältnismässigkeit allerdings triftige Gründe vorliegen. Letztere müssen umso schwerer wiegen, je weiter die errechnete Strahlen- belastung unter der 80 %-Schwelle liegt (VB.2006.00377 vom 28. März 2007, E. 3.5; BRGE III Nr. 0134/2017 vom 14. September 2017; www.bau- rekursgericht-zh.ch). 9.2. Das Standortdatenblatt der Rekurrentin zeigt, dass die voraussichtlich ma- ximal emittierte Gesamtfeldstärke bei den OMEN 11b (B-Weg 4), 11a (B- Weg 4), 12 (B-Weg 5) und 3 (Y-Weg 9) über der 80 %-Schwelle liegen wird. Das geht ohne weiteres aus der nachfolgenden tabellarischen Über- sicht der errechneten elektrischen Feldstärken (EFS) sowie deren Intensität in % des hier geltenden Anlagegrenzwerts von 5 V/m hervor. OMEN 11b 11a 12 3 EFS 4,67 V/m 4,40 V/m 4,40 V/m 4,29 V/m ≙ 93,4 % ≙ 88,0 % ≙ 88,0 % ≙ 85,8 % R4.2018.00066 Seite 18</w:t>
      </w:r>
    </w:p>
    <w:p>
      <w:r>
        <w:t>Aufgrund der genannten Rechtspraxis sind im Bereich dieser vier OMEN zwingend Abnahmemessungen nach Inbetriebnahme der Basisstation not- wendig. Zudem ist unter Bezugnahme auf Ziffer 8.6.2 der vorstehenden Erwägungen beim OMEN 1b ebenfalls eine Abnahmemessung durchzufüh- ren.</w:t>
      </w:r>
    </w:p>
    <w:p>
      <w:r>
        <w:rPr>
          <w:b/>
        </w:rPr>
        <w:t>E. 10</w:t>
      </w:r>
    </w:p>
    <w:p>
      <w:r>
        <w:t>Hinzuweisen ist schliesslich auf die bestehenden Qualitätssicherung- Systeme (QS-Systeme) der schweizerischen Mobilfunkgesellschaften. Letztere wurden aufgrund eines Bundesgerichtsurteils gestützt auf Art. 12 NISV verpflichtet, bis zum 31. Dezember 2006 ein QS-System für ihre Ba- sisstationen einzurichten, bei welchem die bewilligten Antenneneinstellun- gen (Hard- und Softwarekomponenten) zu Kontrollzwecken in einheitlich aufgebaute Datenbanken implementiert sind, dort laufend aktualisiert, re- gelmässig überprüft und – sofern Unregelmässigkeiten festgestellt wür- den – innert Kürze auf das bewilligte Mass korrigiert werden. Die QS- Systeme von Salt, Sunrise und Swisscom wurden von den Fach- und Rechtsmittelbehörden als hinreichender Qualitätsmanagementsnachweis u.a. im Sinne des die Mobilfunkgesellschaften verpflichtenden Rundschrei- bens des BAFU vom 16. Januar 2006, welches die bundesgerichtlichen Kontrollvorgaben beim Betrieb von Mobilfunkanlagen konkretisiert, aner- kannt (u.a. BRGE II Nr. 0179/2012 vom 6. November 2012, E. 10, mit wei- teren Hinweisen auf die Rechtsprechung). Mit den QS-Systemen der schweizerischen Mobilfunkgesellschaften wer- den alle relevanten Parameter einer bewilligten Basisstation, also selbst diejenigen, welche von den Netzzentralen aus gesteuert werden können (etwa die Abstrahlungswinkel), erfasst. Mittels einer automatisierten Über- prüfungsroutine werden einmal pro Arbeitstag die effektiv eingestellten Sendeleistungen und Senderichtungen sämtlicher Antennen mit den bewil- ligten Werten verglichen (VB.2010.00274 vom 8. September 2010, E. 6.2). Abweichungen von den bewilligten Antennenparametern wären folglich in Kürze erkennbar und könnten umgehend behoben werden. Zudem haben die Mobilfunkgesellschaften gemäss erwähntem Rundschreiben des BAFU u.a. den kantonalen Fachstellen periodisch allfällige QS-Fehlerprotokolle zuzustellen. Den kantonalen Fachstellen steht zudem eine Online- Datenbank zur jederzeitigen unangemeldeten Kontrolle der bewilligten An- tennenparameter zur Verfügung. R4.2018.00066 Seite 19</w:t>
      </w:r>
    </w:p>
    <w:p>
      <w:r>
        <w:t>Das Bundesgericht hat in zahlreichen Urteilen festgehalten, dass dieses Prozedere, welches jedoch keine Offenlegung der Protokolle der Qualitäts- sicherung oder der Messprotokolle der Abnahmemessungen oder gar ein "Besuchsrecht" der Betriebszentralen durch Dritte beinhaltet, die Einhaltung der Grenzwerte bei den schweizerischen Mobilfunk-Basisstationen vollum- fänglich gewährleiste (u.a. BGr 1C_685/2013 vom 6. März 2015, E. 7.4). Aus den genannten Gründen darf bei den Grenzwertberechnungen – wie im vorliegenden Fall – auf die im Baugesuch bzw. in den Standortdatenblät- tern deklarierten Antennenleistungen und Neigungswinkel (Tilts) abgestellt werden, auch wenn die verwendeten Komponenten aufgrund ihres techni- schen Potentials grundsätzlich eine höhere Leistung zuliessen (u.a. BRGE IV Nr. 0015/2016 vom 4. Februar 2016, E. 7).</w:t>
      </w:r>
    </w:p>
    <w:p>
      <w:r>
        <w:rPr>
          <w:b/>
        </w:rPr>
        <w:t>E. 11</w:t>
      </w:r>
    </w:p>
    <w:p>
      <w:r>
        <w:t>Zu prüfen ist im Weiteren die Zonenkonformität des Streitobjekts. Diese wird von der Vorinstanz bejaht. Leistungsmässig und baulich durchschnittlich dimensionierte Mobilfunk- Basisstationen innerhalb des Bauzonengebiets werden regelmässig als zo- nenkonforme Infrastrukturanlagen qualifiziert, sofern ein funk- bzw. abde- ckungstechnischer Bezug zur Zone besteht, in welcher sie errichtet werden sollen (BGr 1C_642/2013 vom 7. April 2014, E. 4.1, mit zahlreichen Hin- weisen auf die bundesgerichtliche Rechtsprechung). Erst wenn die leis- tungsmässigen und baulichen Ausmasse einer Basisstation den Rahmen des Üblichen sprengen oder sie im Wesentlichen nicht den Mobilfunkbe- dürfnissen des Quartiers bzw. der jeweiligen Zone dient, sondern eine weit darüberhinausgehende Versorgungsfunktion wahrnimmt, kann eine derarti- ge Anlage nicht mehr von vorherein als zonenkonform qualifiziert werden (u.a. BRGE II Nr. 0186/2015 vom 1. Dezember 2015, E. 9). Im Lichte der Zonenkonformität ist es also nicht erforderlich, dass die mit einer Basisstation aufgebaute Funkzelle ausschliesslich die Mobilfunkver- sorgung im betreffenden Quartier bzw. in der betreffenden Zone sicherstellt (BRGE I Nr. 0083/2011 vom 29. April 2011, E. 15). Eine andere Rechtspra- xis wäre denn auch nicht praktikabel, denn aufgrund ihrer physikalischen Eigenschaften macht die elektromagnetische Mobilfunkstrahlung nicht an der Quartier- oder Zonengrenze punktgenau halt, sondern versorgt in den meisten Fällen deshalb noch benachbarte Gebiete mit (BRKE III Nrn. 0163 R4.2018.00066 Seite 20</w:t>
      </w:r>
    </w:p>
    <w:p>
      <w:r>
        <w:t>und 0164/2010 vom 27. Oktober 2010, E. 6.2; BGr 1C_403/2010 vom 31. Januar 2011, E. 4.3). Mit einer Gesamtleistung von 3'425 W sowie einem rund 7 m hohen ERP Mast, der sich nach dem Gesagten im Sinne von § 238 Abs. 1 PBG befrie- digend ins Quartierbild einordnet, handelt es sich bei der strittigen Basissta- tion um eine zonenkonforme Anlage mit einem hinreichenden funk- und abdeckungstechnischen Bezug zum betreffenden Wohngebiet. Die Rechts- praxis bezeichnet im Übrigen noch deutlich leistungsstärkere Mobilfunk- Basisstationen regelmässig als in Wohngebieten zonenkonforme Infrastruk- turanlagen (statt vieler: BRKE III Nr. 0120/2009 vom 12. August, E. 15; be- stätigt mit VB.2009.00511 vom 2. Dezember 2009, E. 3.1, dieser bestätigt mit BGr 1C_106/2010 vom 19. Oktober 2010, E. 4; jene Anlage hatte eine Leistung von 5'880 W mit mehreren Antennenelementen und Richtfunk- ERP antennen an einem 6,3 m hohen Mast). Der Umstand, dass die strittige An- lage funktechnisch bedingt teilweise noch andere Gebiete in X mitversor- gen kann, ändert also nichts an ihrer Zonenkonformität (BGr 1C_685/2013 vom 6. März 2015, E. 5.3). Ist eine Basisstation zonenkonform, bedarf es – wie bereits eingehend dar- gelegt – keines Bedürfnisnachweises, etwa wegen fehlender Abdeckung oder mangelhafter Kapazität. Ob das Streitobjekt dereinst in das 5G-Netz integriert wird, ist gleichfalls ir- relevant. Zu beurteilen ist hier einzig eine Anlage, welche Bestandteil der 3G- und 4G-Netze der Salt Mobile SA sein soll. Ohnehin wird sich dann die Frage stellen, ob es zulässig ist, diese neue Funktechnologie ohne neue Baubewilligung auf die bestehenden Basisstationen aufzuschalten, was umstritten ist und bis jetzt noch nicht höchstrichterlich geprüft wurde. Im Weiteren sind die Befürchtungen des beigeladenen N. L., die Bauherr- schaft werde die bei der ersten Projektvariante vorgesehenen grossen Richtfunkantennen im Nachhinein noch montieren, unberechtigt. Für diese bauliche und sendetechnische Erweiterung bräuchte es ein neues Bauge- such.</w:t>
      </w:r>
    </w:p>
    <w:p>
      <w:r>
        <w:rPr>
          <w:b/>
        </w:rPr>
        <w:t>E. 12</w:t>
      </w:r>
    </w:p>
    <w:p>
      <w:r>
        <w:t>Schliesslich moniert der beigeladene N. L. eine Entwertung seiner Liegen- schaft. Die Wahrung privatrechtlicher Ansprüche – wie zum Beispiel Scha- R4.2018.00066 Seite 21</w:t>
      </w:r>
    </w:p>
    <w:p>
      <w:r>
        <w:t>denersatzbegehren im Zusammenhang mit geplanten oder bereits realisier- ten Bauvorhaben, Versicherungsfragen oder die Prüfung der Haftpflicht von Anlagebetreibern im Sinne der Art. 59a und 59b USG – ist vor den Zivilge- richten geltend zu machen (§ 317 PBG) und kann deshalb nicht zum Inhalt von Baurekursen gemacht werden (BRKE I Nrn. 0026 und 0027/2006 vom 3. Februar 2006, E. 18).</w:t>
      </w:r>
    </w:p>
    <w:p>
      <w:r>
        <w:rPr>
          <w:b/>
        </w:rPr>
        <w:t>E. 13</w:t>
      </w:r>
    </w:p>
    <w:p>
      <w:r>
        <w:t>Zusammengefasst ist der Rekurs gutzuheissen und der Beschluss der Baubehörde X vom 14. März 2018 [….] ist aufzuheben. Die Vorinstanz ist einzuladen, die nachgesuchte Baubewilligung unter den erforderlichen Ne- benbestimmungen zu erteilen.</w:t>
      </w:r>
    </w:p>
    <w:p>
      <w:r>
        <w:rPr>
          <w:b/>
        </w:rPr>
        <w:t>E. 14</w:t>
      </w:r>
    </w:p>
    <w:p>
      <w:r>
        <w:t>Ausgangsgemäss sind die Verfahrenskosten zu 1/2 der Baubehörde X so- wie je zu 1/4 den beiden Beigeladenen aufzuerlegen. Die Kostenpflicht der Beigeladenen ergibt sich aus dem Verfahrensausgang. Auf die mögliche Kostenpflicht sowie auch auf die Möglichkeit, zu einer Umtriebsentschädi- gung im Sinne von § 17 Abs. 2 lit. a des Verwaltungsrechtspflegegesetzes (VRG) verpflichtet werden zu können, wurden die Beigeladenen hingewie- sen (act. 7).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1'000.-- bis Fr. 50'000.-- (§ 338 Abs. 2 PBG; § 3 Abs. 3 GebV VGr). Bei der Bemessung der Gebührenhöhe steht der Rekursinstanz ein grosser Ermessensspielraum zu (Kaspar Plüss, in: Kommentar VRG, 3. Aufl., Zürich/Basel/Genf 2014, § 13 Rz. 25 ff.). In Beachtung dieser Kriterien ist die Gerichtsgebühr im vorliegenden Fall, wo ein Abteilungsaugenschein sowie ausführliche Schriftenwechsel durch- geführt wurden, auf Fr. 6'500.-- festzusetzen (BGr 1C_566/2015 vom</w:t>
      </w:r>
    </w:p>
    <w:p>
      <w:r>
        <w:rPr>
          <w:b/>
        </w:rPr>
        <w:t>E. 18</w:t>
      </w:r>
    </w:p>
    <w:p>
      <w:r>
        <w:t>Februar 2016, E. 2; BGr 1C_244/2013 vom 4. Juli 2013, E. 4; BRGE II Nrn. 0162 und 0163/2012 vom 23. Oktober 2012, E. 16, in BEZ 2014 R4.2018.00066 Seite 22</w:t>
      </w:r>
    </w:p>
    <w:p>
      <w:r>
        <w:t>Nr. 36; Entscheid bestätigt mit VB.2012.00774 vom 22. August 2013, dieser bestätigt mit BGr 1C_810/2013 vom 14. Juli 2014; www.baurekursgericht- zh.ch). 15.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der obsiegenden an- waltlich vertretenen Rekurrentin zulasten der Vorinstanz und der Beigela- denen antragsgemäss eine Umtriebsentschädigung zuzusprechen. Ange- messen erscheint ein Betrag von insgesamt Fr. 2'000.--, zahlbar nach Massgabe des Verfahrenskostenverteilers. Da die Umtriebsentschädigung pauschal festgelegt wird, entfällt die Zusprechung eines Mehrwertsteuerzu- satzes von vornherein (BRKE II Nrn. 0247 und 0248/2007 in BEZ 2007 Nr. 56; www.baurekursgericht-zh.ch). Die Zusprechung von Umtriebsentschädigungen an die Vorinstanz oder an die Beigeladenen fällt angesichts des Verfahrensausgangs von vornherein ausser Betracht. [….]. R4.2018.00066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